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B4" w:rsidRPr="00B45745" w:rsidRDefault="002B35B4" w:rsidP="002B35B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8D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9</w:t>
      </w:r>
      <w:bookmarkStart w:id="0" w:name="_GoBack"/>
      <w:bookmarkEnd w:id="0"/>
      <w:r w:rsidRPr="00B4574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1265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45745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припрему и издавање података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лист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катастарски план?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катастар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катастарска парцела?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гласи начело поуздања?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су странке у поступку уписа?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ком тренутку се плаћа такса?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lastRenderedPageBreak/>
        <w:t>Да ли организације обавезног социјалног осигурања плаћају таксу?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на захтев?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lastRenderedPageBreak/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гаражно место?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су граничне тачке?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 је посебан  део објекта?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парцелација?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препарцелација?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правни статус објекта?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фактичко стање?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lastRenderedPageBreak/>
        <w:t>На који начин се нумеришу фотоскице у оквиру подручја катастарског премера?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омеђавање парцеле?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lastRenderedPageBreak/>
        <w:t>Да  ли су врста земљишта и начин коришћења земљишта једна те иста ствар?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чувају аналогни и дигитални подаци катастра непокретности?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чувају архивски оригинали планова размере 1:500, 1:1000, 1:1440, 1:2000, 1:2500, 1:2880, 1:5000?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чувају оригинали записника о опису граница катастарских општина?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чувају архивски оригинали дигиталног катастарског плана?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врши увид у податке?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се обавезно наводи у захтеву странке за издавање података?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морају да садрже документа са издатим подацима?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Колико често се израђују сигурносне копије података у дигиталном облику у циљу заштита података?</w:t>
      </w:r>
    </w:p>
    <w:p w:rsidR="002B35B4" w:rsidRPr="0012658D" w:rsidRDefault="002B35B4" w:rsidP="002B35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заштита приступа подацима у дигиталном облику?</w:t>
      </w:r>
    </w:p>
    <w:p w:rsidR="004C72AC" w:rsidRDefault="004C72AC"/>
    <w:sectPr w:rsidR="004C7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A6"/>
    <w:rsid w:val="002B35B4"/>
    <w:rsid w:val="004C72AC"/>
    <w:rsid w:val="008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3444"/>
  <w15:chartTrackingRefBased/>
  <w15:docId w15:val="{2C3DD87D-7BA9-4836-B5E5-B5BA37B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5B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5B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2019-03-28T08:54:00Z</dcterms:created>
  <dcterms:modified xsi:type="dcterms:W3CDTF">2019-03-28T08:55:00Z</dcterms:modified>
</cp:coreProperties>
</file>